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9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May 22,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184785</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43"/>
          <w:szCs w:val="43"/>
          <w:b w:val="1"/>
          <w:bCs w:val="1"/>
          <w:color w:val="auto"/>
        </w:rPr>
        <w:t>MICROSTRATEGY INCORPORATED</w:t>
      </w:r>
    </w:p>
    <w:p>
      <w:pPr>
        <w:spacing w:after="0" w:line="5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175895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24" w:lineRule="exact"/>
        <w:rPr>
          <w:sz w:val="24"/>
          <w:szCs w:val="24"/>
          <w:color w:val="auto"/>
        </w:rPr>
      </w:pPr>
    </w:p>
    <w:tbl>
      <w:tblPr>
        <w:tblLayout w:type="fixed"/>
        <w:tblInd w:w="1040" w:type="dxa"/>
        <w:tblCellMar>
          <w:top w:w="0" w:type="dxa"/>
          <w:left w:w="0" w:type="dxa"/>
          <w:bottom w:w="0" w:type="dxa"/>
          <w:right w:w="0" w:type="dxa"/>
        </w:tblCellMar>
      </w:tblPr>
      <w:tr>
        <w:trPr>
          <w:trHeight w:val="214"/>
        </w:trPr>
        <w:tc>
          <w:tcPr>
            <w:tcW w:w="4000" w:type="dxa"/>
            <w:vAlign w:val="bottom"/>
          </w:tcPr>
          <w:p>
            <w:pPr>
              <w:jc w:val="center"/>
              <w:ind w:right="2279"/>
              <w:spacing w:after="0"/>
              <w:rPr>
                <w:sz w:val="20"/>
                <w:szCs w:val="20"/>
                <w:color w:val="auto"/>
              </w:rPr>
            </w:pPr>
            <w:r>
              <w:rPr>
                <w:rFonts w:ascii="Times New Roman" w:cs="Times New Roman" w:eastAsia="Times New Roman" w:hAnsi="Times New Roman"/>
                <w:sz w:val="18"/>
                <w:szCs w:val="18"/>
                <w:b w:val="1"/>
                <w:bCs w:val="1"/>
                <w:color w:val="auto"/>
                <w:w w:val="98"/>
              </w:rPr>
              <w:t>Delaware</w:t>
            </w:r>
          </w:p>
        </w:tc>
        <w:tc>
          <w:tcPr>
            <w:tcW w:w="2320" w:type="dxa"/>
            <w:vAlign w:val="bottom"/>
          </w:tcPr>
          <w:p>
            <w:pPr>
              <w:jc w:val="center"/>
              <w:ind w:right="1082"/>
              <w:spacing w:after="0"/>
              <w:rPr>
                <w:sz w:val="20"/>
                <w:szCs w:val="20"/>
                <w:color w:val="auto"/>
              </w:rPr>
            </w:pPr>
            <w:r>
              <w:rPr>
                <w:rFonts w:ascii="Times New Roman" w:cs="Times New Roman" w:eastAsia="Times New Roman" w:hAnsi="Times New Roman"/>
                <w:sz w:val="18"/>
                <w:szCs w:val="18"/>
                <w:b w:val="1"/>
                <w:bCs w:val="1"/>
                <w:color w:val="auto"/>
                <w:w w:val="99"/>
              </w:rPr>
              <w:t>0-24435</w:t>
            </w:r>
          </w:p>
        </w:tc>
        <w:tc>
          <w:tcPr>
            <w:tcW w:w="2460" w:type="dxa"/>
            <w:vAlign w:val="bottom"/>
          </w:tcPr>
          <w:p>
            <w:pPr>
              <w:jc w:val="center"/>
              <w:ind w:left="1241"/>
              <w:spacing w:after="0"/>
              <w:rPr>
                <w:sz w:val="20"/>
                <w:szCs w:val="20"/>
                <w:color w:val="auto"/>
              </w:rPr>
            </w:pPr>
            <w:r>
              <w:rPr>
                <w:rFonts w:ascii="Times New Roman" w:cs="Times New Roman" w:eastAsia="Times New Roman" w:hAnsi="Times New Roman"/>
                <w:sz w:val="18"/>
                <w:szCs w:val="18"/>
                <w:b w:val="1"/>
                <w:bCs w:val="1"/>
                <w:color w:val="auto"/>
                <w:w w:val="98"/>
              </w:rPr>
              <w:t>51-0323571</w:t>
            </w:r>
          </w:p>
        </w:tc>
      </w:tr>
      <w:tr>
        <w:trPr>
          <w:trHeight w:val="148"/>
        </w:trPr>
        <w:tc>
          <w:tcPr>
            <w:tcW w:w="4000" w:type="dxa"/>
            <w:vAlign w:val="bottom"/>
          </w:tcPr>
          <w:p>
            <w:pPr>
              <w:jc w:val="center"/>
              <w:ind w:right="2279"/>
              <w:spacing w:after="0" w:line="149" w:lineRule="exact"/>
              <w:rPr>
                <w:sz w:val="20"/>
                <w:szCs w:val="20"/>
                <w:color w:val="auto"/>
              </w:rPr>
            </w:pPr>
            <w:r>
              <w:rPr>
                <w:rFonts w:ascii="Times New Roman" w:cs="Times New Roman" w:eastAsia="Times New Roman" w:hAnsi="Times New Roman"/>
                <w:sz w:val="14"/>
                <w:szCs w:val="14"/>
                <w:b w:val="1"/>
                <w:bCs w:val="1"/>
                <w:color w:val="auto"/>
              </w:rPr>
              <w:t>(State or other jurisdiction</w:t>
            </w:r>
          </w:p>
        </w:tc>
        <w:tc>
          <w:tcPr>
            <w:tcW w:w="2320" w:type="dxa"/>
            <w:vAlign w:val="bottom"/>
          </w:tcPr>
          <w:p>
            <w:pPr>
              <w:jc w:val="center"/>
              <w:ind w:right="1082"/>
              <w:spacing w:after="0" w:line="149" w:lineRule="exact"/>
              <w:rPr>
                <w:sz w:val="20"/>
                <w:szCs w:val="20"/>
                <w:color w:val="auto"/>
              </w:rPr>
            </w:pPr>
            <w:r>
              <w:rPr>
                <w:rFonts w:ascii="Times New Roman" w:cs="Times New Roman" w:eastAsia="Times New Roman" w:hAnsi="Times New Roman"/>
                <w:sz w:val="14"/>
                <w:szCs w:val="14"/>
                <w:b w:val="1"/>
                <w:bCs w:val="1"/>
                <w:color w:val="auto"/>
              </w:rPr>
              <w:t>(Commission</w:t>
            </w:r>
          </w:p>
        </w:tc>
        <w:tc>
          <w:tcPr>
            <w:tcW w:w="2460" w:type="dxa"/>
            <w:vAlign w:val="bottom"/>
          </w:tcPr>
          <w:p>
            <w:pPr>
              <w:jc w:val="center"/>
              <w:ind w:left="1241"/>
              <w:spacing w:after="0" w:line="149" w:lineRule="exact"/>
              <w:rPr>
                <w:sz w:val="20"/>
                <w:szCs w:val="20"/>
                <w:color w:val="auto"/>
              </w:rPr>
            </w:pPr>
            <w:r>
              <w:rPr>
                <w:rFonts w:ascii="Times New Roman" w:cs="Times New Roman" w:eastAsia="Times New Roman" w:hAnsi="Times New Roman"/>
                <w:sz w:val="14"/>
                <w:szCs w:val="14"/>
                <w:b w:val="1"/>
                <w:bCs w:val="1"/>
                <w:color w:val="auto"/>
              </w:rPr>
              <w:t>(I.R.S. Employer</w:t>
            </w:r>
          </w:p>
        </w:tc>
      </w:tr>
      <w:tr>
        <w:trPr>
          <w:trHeight w:val="190"/>
        </w:trPr>
        <w:tc>
          <w:tcPr>
            <w:tcW w:w="4000" w:type="dxa"/>
            <w:vAlign w:val="bottom"/>
          </w:tcPr>
          <w:p>
            <w:pPr>
              <w:jc w:val="center"/>
              <w:ind w:right="2259"/>
              <w:spacing w:after="0"/>
              <w:rPr>
                <w:sz w:val="20"/>
                <w:szCs w:val="20"/>
                <w:color w:val="auto"/>
              </w:rPr>
            </w:pPr>
            <w:r>
              <w:rPr>
                <w:rFonts w:ascii="Times New Roman" w:cs="Times New Roman" w:eastAsia="Times New Roman" w:hAnsi="Times New Roman"/>
                <w:sz w:val="14"/>
                <w:szCs w:val="14"/>
                <w:b w:val="1"/>
                <w:bCs w:val="1"/>
                <w:color w:val="auto"/>
              </w:rPr>
              <w:t>of incorporation)</w:t>
            </w:r>
          </w:p>
        </w:tc>
        <w:tc>
          <w:tcPr>
            <w:tcW w:w="2320" w:type="dxa"/>
            <w:vAlign w:val="bottom"/>
          </w:tcPr>
          <w:p>
            <w:pPr>
              <w:jc w:val="center"/>
              <w:ind w:right="1082"/>
              <w:spacing w:after="0"/>
              <w:rPr>
                <w:sz w:val="20"/>
                <w:szCs w:val="20"/>
                <w:color w:val="auto"/>
              </w:rPr>
            </w:pPr>
            <w:r>
              <w:rPr>
                <w:rFonts w:ascii="Times New Roman" w:cs="Times New Roman" w:eastAsia="Times New Roman" w:hAnsi="Times New Roman"/>
                <w:sz w:val="14"/>
                <w:szCs w:val="14"/>
                <w:b w:val="1"/>
                <w:bCs w:val="1"/>
                <w:color w:val="auto"/>
              </w:rPr>
              <w:t>File Number)</w:t>
            </w:r>
          </w:p>
        </w:tc>
        <w:tc>
          <w:tcPr>
            <w:tcW w:w="2460" w:type="dxa"/>
            <w:vAlign w:val="bottom"/>
          </w:tcPr>
          <w:p>
            <w:pPr>
              <w:jc w:val="center"/>
              <w:ind w:left="1241"/>
              <w:spacing w:after="0"/>
              <w:rPr>
                <w:sz w:val="20"/>
                <w:szCs w:val="20"/>
                <w:color w:val="auto"/>
              </w:rPr>
            </w:pPr>
            <w:r>
              <w:rPr>
                <w:rFonts w:ascii="Times New Roman" w:cs="Times New Roman" w:eastAsia="Times New Roman" w:hAnsi="Times New Roman"/>
                <w:sz w:val="14"/>
                <w:szCs w:val="14"/>
                <w:b w:val="1"/>
                <w:bCs w:val="1"/>
                <w:color w:val="auto"/>
              </w:rPr>
              <w:t>Identification No.)</w:t>
            </w:r>
          </w:p>
        </w:tc>
      </w:tr>
      <w:tr>
        <w:trPr>
          <w:trHeight w:val="339"/>
        </w:trPr>
        <w:tc>
          <w:tcPr>
            <w:tcW w:w="4000" w:type="dxa"/>
            <w:vAlign w:val="bottom"/>
          </w:tcPr>
          <w:p>
            <w:pPr>
              <w:jc w:val="center"/>
              <w:ind w:left="1199"/>
              <w:spacing w:after="0"/>
              <w:rPr>
                <w:sz w:val="20"/>
                <w:szCs w:val="20"/>
                <w:color w:val="auto"/>
              </w:rPr>
            </w:pPr>
            <w:r>
              <w:rPr>
                <w:rFonts w:ascii="Times New Roman" w:cs="Times New Roman" w:eastAsia="Times New Roman" w:hAnsi="Times New Roman"/>
                <w:sz w:val="18"/>
                <w:szCs w:val="18"/>
                <w:b w:val="1"/>
                <w:bCs w:val="1"/>
                <w:color w:val="auto"/>
                <w:w w:val="99"/>
              </w:rPr>
              <w:t>1850 Towers Crescent Plaza</w:t>
            </w:r>
          </w:p>
        </w:tc>
        <w:tc>
          <w:tcPr>
            <w:tcW w:w="2320" w:type="dxa"/>
            <w:vAlign w:val="bottom"/>
          </w:tcPr>
          <w:p>
            <w:pPr>
              <w:spacing w:after="0"/>
              <w:rPr>
                <w:sz w:val="24"/>
                <w:szCs w:val="24"/>
                <w:color w:val="auto"/>
              </w:rPr>
            </w:pPr>
          </w:p>
        </w:tc>
        <w:tc>
          <w:tcPr>
            <w:tcW w:w="2460" w:type="dxa"/>
            <w:vAlign w:val="bottom"/>
          </w:tcPr>
          <w:p>
            <w:pPr>
              <w:spacing w:after="0"/>
              <w:rPr>
                <w:sz w:val="24"/>
                <w:szCs w:val="24"/>
                <w:color w:val="auto"/>
              </w:rPr>
            </w:pPr>
          </w:p>
        </w:tc>
      </w:tr>
      <w:tr>
        <w:trPr>
          <w:trHeight w:val="227"/>
        </w:trPr>
        <w:tc>
          <w:tcPr>
            <w:tcW w:w="4000" w:type="dxa"/>
            <w:vAlign w:val="bottom"/>
          </w:tcPr>
          <w:p>
            <w:pPr>
              <w:jc w:val="center"/>
              <w:ind w:left="1199"/>
              <w:spacing w:after="0"/>
              <w:rPr>
                <w:sz w:val="20"/>
                <w:szCs w:val="20"/>
                <w:color w:val="auto"/>
              </w:rPr>
            </w:pPr>
            <w:r>
              <w:rPr>
                <w:rFonts w:ascii="Times New Roman" w:cs="Times New Roman" w:eastAsia="Times New Roman" w:hAnsi="Times New Roman"/>
                <w:sz w:val="18"/>
                <w:szCs w:val="18"/>
                <w:b w:val="1"/>
                <w:bCs w:val="1"/>
                <w:color w:val="auto"/>
                <w:w w:val="98"/>
              </w:rPr>
              <w:t>Tysons Corner, Virginia</w:t>
            </w:r>
          </w:p>
        </w:tc>
        <w:tc>
          <w:tcPr>
            <w:tcW w:w="2320" w:type="dxa"/>
            <w:vAlign w:val="bottom"/>
          </w:tcPr>
          <w:p>
            <w:pPr>
              <w:spacing w:after="0"/>
              <w:rPr>
                <w:sz w:val="19"/>
                <w:szCs w:val="19"/>
                <w:color w:val="auto"/>
              </w:rPr>
            </w:pPr>
          </w:p>
        </w:tc>
        <w:tc>
          <w:tcPr>
            <w:tcW w:w="2460" w:type="dxa"/>
            <w:vAlign w:val="bottom"/>
          </w:tcPr>
          <w:p>
            <w:pPr>
              <w:jc w:val="right"/>
              <w:ind w:right="201"/>
              <w:spacing w:after="0"/>
              <w:rPr>
                <w:sz w:val="20"/>
                <w:szCs w:val="20"/>
                <w:color w:val="auto"/>
              </w:rPr>
            </w:pPr>
            <w:r>
              <w:rPr>
                <w:rFonts w:ascii="Times New Roman" w:cs="Times New Roman" w:eastAsia="Times New Roman" w:hAnsi="Times New Roman"/>
                <w:sz w:val="18"/>
                <w:szCs w:val="18"/>
                <w:b w:val="1"/>
                <w:bCs w:val="1"/>
                <w:color w:val="auto"/>
              </w:rPr>
              <w:t>22182</w:t>
            </w:r>
          </w:p>
        </w:tc>
      </w:tr>
      <w:tr>
        <w:trPr>
          <w:trHeight w:val="190"/>
        </w:trPr>
        <w:tc>
          <w:tcPr>
            <w:tcW w:w="4000" w:type="dxa"/>
            <w:vAlign w:val="bottom"/>
          </w:tcPr>
          <w:p>
            <w:pPr>
              <w:jc w:val="center"/>
              <w:ind w:left="1219"/>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tc>
        <w:tc>
          <w:tcPr>
            <w:tcW w:w="2320" w:type="dxa"/>
            <w:vAlign w:val="bottom"/>
          </w:tcPr>
          <w:p>
            <w:pPr>
              <w:spacing w:after="0"/>
              <w:rPr>
                <w:sz w:val="16"/>
                <w:szCs w:val="16"/>
                <w:color w:val="auto"/>
              </w:rPr>
            </w:pPr>
          </w:p>
        </w:tc>
        <w:tc>
          <w:tcPr>
            <w:tcW w:w="2460" w:type="dxa"/>
            <w:vAlign w:val="bottom"/>
          </w:tcPr>
          <w:p>
            <w:pPr>
              <w:jc w:val="center"/>
              <w:ind w:left="1361"/>
              <w:spacing w:after="0"/>
              <w:rPr>
                <w:sz w:val="20"/>
                <w:szCs w:val="20"/>
                <w:color w:val="auto"/>
              </w:rPr>
            </w:pPr>
            <w:r>
              <w:rPr>
                <w:rFonts w:ascii="Times New Roman" w:cs="Times New Roman" w:eastAsia="Times New Roman" w:hAnsi="Times New Roman"/>
                <w:sz w:val="14"/>
                <w:szCs w:val="14"/>
                <w:b w:val="1"/>
                <w:bCs w:val="1"/>
                <w:color w:val="auto"/>
              </w:rPr>
              <w:t>(Zip Code)</w:t>
            </w:r>
          </w:p>
        </w:tc>
      </w:tr>
    </w:tbl>
    <w:p>
      <w:pPr>
        <w:spacing w:after="0" w:line="10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73"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42"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9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9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9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44"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139"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12"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ind w:left="440"/>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8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137160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179705</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5.07.</w:t>
      </w:r>
      <w:r>
        <w:rPr>
          <w:sz w:val="20"/>
          <w:szCs w:val="20"/>
          <w:color w:val="auto"/>
        </w:rPr>
        <w:tab/>
      </w:r>
      <w:r>
        <w:rPr>
          <w:rFonts w:ascii="Times New Roman" w:cs="Times New Roman" w:eastAsia="Times New Roman" w:hAnsi="Times New Roman"/>
          <w:sz w:val="18"/>
          <w:szCs w:val="18"/>
          <w:b w:val="1"/>
          <w:bCs w:val="1"/>
          <w:color w:val="auto"/>
        </w:rPr>
        <w:t>Submission of Matters to a Vote of Security Holders.</w:t>
      </w:r>
    </w:p>
    <w:p>
      <w:pPr>
        <w:spacing w:after="0" w:line="121"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On May 22, 2024, MicroStrategy Incorporated (the “Company”) held its 2024 Annual Meeting of Stockholders. The following proposals were adopted by the votes specified below.</w:t>
      </w:r>
    </w:p>
    <w:p>
      <w:pPr>
        <w:spacing w:after="0" w:line="170" w:lineRule="exact"/>
        <w:rPr>
          <w:sz w:val="20"/>
          <w:szCs w:val="20"/>
          <w:color w:val="auto"/>
        </w:rPr>
      </w:pPr>
    </w:p>
    <w:tbl>
      <w:tblPr>
        <w:tblLayout w:type="fixed"/>
        <w:tblInd w:w="440" w:type="dxa"/>
        <w:tblCellMar>
          <w:top w:w="0" w:type="dxa"/>
          <w:left w:w="0" w:type="dxa"/>
          <w:bottom w:w="0" w:type="dxa"/>
          <w:right w:w="0" w:type="dxa"/>
        </w:tblCellMar>
      </w:tblPr>
      <w:tr>
        <w:trPr>
          <w:trHeight w:val="161"/>
        </w:trPr>
        <w:tc>
          <w:tcPr>
            <w:tcW w:w="6420" w:type="dxa"/>
            <w:vAlign w:val="bottom"/>
          </w:tcPr>
          <w:p>
            <w:pPr>
              <w:spacing w:after="0"/>
              <w:rPr>
                <w:sz w:val="13"/>
                <w:szCs w:val="13"/>
                <w:color w:val="auto"/>
              </w:rPr>
            </w:pPr>
          </w:p>
        </w:tc>
        <w:tc>
          <w:tcPr>
            <w:tcW w:w="1120" w:type="dxa"/>
            <w:vAlign w:val="bottom"/>
            <w:gridSpan w:val="2"/>
            <w:vMerge w:val="restart"/>
          </w:tcPr>
          <w:p>
            <w:pPr>
              <w:ind w:left="320"/>
              <w:spacing w:after="0"/>
              <w:rPr>
                <w:sz w:val="20"/>
                <w:szCs w:val="20"/>
                <w:color w:val="auto"/>
              </w:rPr>
            </w:pPr>
            <w:r>
              <w:rPr>
                <w:rFonts w:ascii="Times New Roman" w:cs="Times New Roman" w:eastAsia="Times New Roman" w:hAnsi="Times New Roman"/>
                <w:sz w:val="14"/>
                <w:szCs w:val="14"/>
                <w:b w:val="1"/>
                <w:bCs w:val="1"/>
                <w:color w:val="auto"/>
              </w:rPr>
              <w:t>For</w:t>
            </w:r>
          </w:p>
        </w:tc>
        <w:tc>
          <w:tcPr>
            <w:tcW w:w="1040" w:type="dxa"/>
            <w:vAlign w:val="bottom"/>
            <w:gridSpan w:val="2"/>
            <w:vMerge w:val="restart"/>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w w:val="99"/>
              </w:rPr>
              <w:t>Withheld</w:t>
            </w:r>
          </w:p>
        </w:tc>
        <w:tc>
          <w:tcPr>
            <w:tcW w:w="700" w:type="dxa"/>
            <w:vAlign w:val="bottom"/>
            <w:gridSpan w:val="2"/>
            <w:vMerge w:val="restart"/>
          </w:tcPr>
          <w:p>
            <w:pPr>
              <w:ind w:left="40"/>
              <w:spacing w:after="0"/>
              <w:rPr>
                <w:sz w:val="20"/>
                <w:szCs w:val="20"/>
                <w:color w:val="auto"/>
              </w:rPr>
            </w:pPr>
            <w:r>
              <w:rPr>
                <w:rFonts w:ascii="Times New Roman" w:cs="Times New Roman" w:eastAsia="Times New Roman" w:hAnsi="Times New Roman"/>
                <w:sz w:val="14"/>
                <w:szCs w:val="14"/>
                <w:b w:val="1"/>
                <w:bCs w:val="1"/>
                <w:color w:val="auto"/>
              </w:rPr>
              <w:t>Abstain</w:t>
            </w:r>
          </w:p>
        </w:tc>
        <w:tc>
          <w:tcPr>
            <w:tcW w:w="840" w:type="dxa"/>
            <w:vAlign w:val="bottom"/>
            <w:gridSpan w:val="2"/>
          </w:tcPr>
          <w:p>
            <w:pPr>
              <w:ind w:left="180"/>
              <w:spacing w:after="0"/>
              <w:rPr>
                <w:sz w:val="20"/>
                <w:szCs w:val="20"/>
                <w:color w:val="auto"/>
              </w:rPr>
            </w:pPr>
            <w:r>
              <w:rPr>
                <w:rFonts w:ascii="Times New Roman" w:cs="Times New Roman" w:eastAsia="Times New Roman" w:hAnsi="Times New Roman"/>
                <w:sz w:val="14"/>
                <w:szCs w:val="14"/>
                <w:b w:val="1"/>
                <w:bCs w:val="1"/>
                <w:color w:val="auto"/>
              </w:rPr>
              <w:t>Broker</w:t>
            </w:r>
          </w:p>
        </w:tc>
        <w:tc>
          <w:tcPr>
            <w:tcW w:w="0" w:type="dxa"/>
            <w:vAlign w:val="bottom"/>
          </w:tcPr>
          <w:p>
            <w:pPr>
              <w:spacing w:after="0"/>
              <w:rPr>
                <w:sz w:val="1"/>
                <w:szCs w:val="1"/>
                <w:color w:val="auto"/>
              </w:rPr>
            </w:pPr>
          </w:p>
        </w:tc>
      </w:tr>
      <w:tr>
        <w:trPr>
          <w:trHeight w:val="173"/>
        </w:trPr>
        <w:tc>
          <w:tcPr>
            <w:tcW w:w="6420" w:type="dxa"/>
            <w:vAlign w:val="bottom"/>
          </w:tcPr>
          <w:p>
            <w:pPr>
              <w:spacing w:after="0"/>
              <w:rPr>
                <w:sz w:val="15"/>
                <w:szCs w:val="15"/>
                <w:color w:val="auto"/>
              </w:rPr>
            </w:pPr>
          </w:p>
        </w:tc>
        <w:tc>
          <w:tcPr>
            <w:tcW w:w="1120" w:type="dxa"/>
            <w:vAlign w:val="bottom"/>
            <w:gridSpan w:val="2"/>
            <w:vMerge w:val="continue"/>
          </w:tcPr>
          <w:p>
            <w:pPr>
              <w:spacing w:after="0"/>
              <w:rPr>
                <w:sz w:val="15"/>
                <w:szCs w:val="15"/>
                <w:color w:val="auto"/>
              </w:rPr>
            </w:pPr>
          </w:p>
        </w:tc>
        <w:tc>
          <w:tcPr>
            <w:tcW w:w="1040" w:type="dxa"/>
            <w:vAlign w:val="bottom"/>
            <w:gridSpan w:val="2"/>
            <w:vMerge w:val="continue"/>
          </w:tcPr>
          <w:p>
            <w:pPr>
              <w:spacing w:after="0"/>
              <w:rPr>
                <w:sz w:val="15"/>
                <w:szCs w:val="15"/>
                <w:color w:val="auto"/>
              </w:rPr>
            </w:pPr>
          </w:p>
        </w:tc>
        <w:tc>
          <w:tcPr>
            <w:tcW w:w="700" w:type="dxa"/>
            <w:vAlign w:val="bottom"/>
            <w:gridSpan w:val="2"/>
            <w:vMerge w:val="continue"/>
          </w:tcPr>
          <w:p>
            <w:pPr>
              <w:spacing w:after="0"/>
              <w:rPr>
                <w:sz w:val="15"/>
                <w:szCs w:val="15"/>
                <w:color w:val="auto"/>
              </w:rPr>
            </w:pPr>
          </w:p>
        </w:tc>
        <w:tc>
          <w:tcPr>
            <w:tcW w:w="840" w:type="dxa"/>
            <w:vAlign w:val="bottom"/>
            <w:gridSpan w:val="2"/>
          </w:tcPr>
          <w:p>
            <w:pPr>
              <w:ind w:left="80"/>
              <w:spacing w:after="0"/>
              <w:rPr>
                <w:sz w:val="20"/>
                <w:szCs w:val="20"/>
                <w:color w:val="auto"/>
              </w:rPr>
            </w:pPr>
            <w:r>
              <w:rPr>
                <w:rFonts w:ascii="Times New Roman" w:cs="Times New Roman" w:eastAsia="Times New Roman" w:hAnsi="Times New Roman"/>
                <w:sz w:val="14"/>
                <w:szCs w:val="14"/>
                <w:b w:val="1"/>
                <w:bCs w:val="1"/>
                <w:color w:val="auto"/>
              </w:rPr>
              <w:t>Non-Votes</w:t>
            </w:r>
          </w:p>
        </w:tc>
        <w:tc>
          <w:tcPr>
            <w:tcW w:w="0" w:type="dxa"/>
            <w:vAlign w:val="bottom"/>
          </w:tcPr>
          <w:p>
            <w:pPr>
              <w:spacing w:after="0"/>
              <w:rPr>
                <w:sz w:val="1"/>
                <w:szCs w:val="1"/>
                <w:color w:val="auto"/>
              </w:rPr>
            </w:pPr>
          </w:p>
        </w:tc>
      </w:tr>
      <w:tr>
        <w:trPr>
          <w:trHeight w:val="196"/>
        </w:trPr>
        <w:tc>
          <w:tcPr>
            <w:tcW w:w="6420" w:type="dxa"/>
            <w:vAlign w:val="bottom"/>
            <w:tcBorders>
              <w:top w:val="single" w:sz="8" w:color="CCEEFF"/>
            </w:tcBorders>
            <w:shd w:val="clear" w:color="auto" w:fill="CCEEFF"/>
          </w:tcPr>
          <w:p>
            <w:pPr>
              <w:spacing w:after="0" w:line="196" w:lineRule="exact"/>
              <w:rPr>
                <w:sz w:val="20"/>
                <w:szCs w:val="20"/>
                <w:color w:val="auto"/>
              </w:rPr>
            </w:pPr>
            <w:r>
              <w:rPr>
                <w:rFonts w:ascii="Times New Roman" w:cs="Times New Roman" w:eastAsia="Times New Roman" w:hAnsi="Times New Roman"/>
                <w:sz w:val="18"/>
                <w:szCs w:val="18"/>
                <w:color w:val="auto"/>
              </w:rPr>
              <w:t>1.    To elect the following six (6) directors for the next year:</w:t>
            </w:r>
          </w:p>
        </w:tc>
        <w:tc>
          <w:tcPr>
            <w:tcW w:w="880" w:type="dxa"/>
            <w:vAlign w:val="bottom"/>
            <w:tcBorders>
              <w:top w:val="single" w:sz="8" w:color="auto"/>
            </w:tcBorders>
            <w:shd w:val="clear" w:color="auto" w:fill="CCEEFF"/>
          </w:tcPr>
          <w:p>
            <w:pPr>
              <w:spacing w:after="0"/>
              <w:rPr>
                <w:sz w:val="17"/>
                <w:szCs w:val="17"/>
                <w:color w:val="auto"/>
              </w:rPr>
            </w:pPr>
          </w:p>
        </w:tc>
        <w:tc>
          <w:tcPr>
            <w:tcW w:w="240" w:type="dxa"/>
            <w:vAlign w:val="bottom"/>
            <w:tcBorders>
              <w:top w:val="single" w:sz="8" w:color="CCEEFF"/>
            </w:tcBorders>
            <w:shd w:val="clear" w:color="auto" w:fill="CCEEFF"/>
          </w:tcPr>
          <w:p>
            <w:pPr>
              <w:spacing w:after="0"/>
              <w:rPr>
                <w:sz w:val="17"/>
                <w:szCs w:val="17"/>
                <w:color w:val="auto"/>
              </w:rPr>
            </w:pPr>
          </w:p>
        </w:tc>
        <w:tc>
          <w:tcPr>
            <w:tcW w:w="800" w:type="dxa"/>
            <w:vAlign w:val="bottom"/>
            <w:tcBorders>
              <w:top w:val="single" w:sz="8" w:color="auto"/>
            </w:tcBorders>
            <w:shd w:val="clear" w:color="auto" w:fill="CCEEFF"/>
          </w:tcPr>
          <w:p>
            <w:pPr>
              <w:spacing w:after="0"/>
              <w:rPr>
                <w:sz w:val="17"/>
                <w:szCs w:val="17"/>
                <w:color w:val="auto"/>
              </w:rPr>
            </w:pPr>
          </w:p>
        </w:tc>
        <w:tc>
          <w:tcPr>
            <w:tcW w:w="24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spacing w:after="0"/>
              <w:rPr>
                <w:sz w:val="17"/>
                <w:szCs w:val="17"/>
                <w:color w:val="auto"/>
              </w:rPr>
            </w:pPr>
          </w:p>
        </w:tc>
        <w:tc>
          <w:tcPr>
            <w:tcW w:w="140" w:type="dxa"/>
            <w:vAlign w:val="bottom"/>
            <w:tcBorders>
              <w:top w:val="single" w:sz="8" w:color="CCEEFF"/>
            </w:tcBorders>
            <w:shd w:val="clear" w:color="auto" w:fill="CCEEFF"/>
          </w:tcPr>
          <w:p>
            <w:pPr>
              <w:spacing w:after="0"/>
              <w:rPr>
                <w:sz w:val="17"/>
                <w:szCs w:val="17"/>
                <w:color w:val="auto"/>
              </w:rPr>
            </w:pPr>
          </w:p>
        </w:tc>
        <w:tc>
          <w:tcPr>
            <w:tcW w:w="800" w:type="dxa"/>
            <w:vAlign w:val="bottom"/>
            <w:tcBorders>
              <w:top w:val="single" w:sz="8" w:color="auto"/>
            </w:tcBorders>
            <w:shd w:val="clear" w:color="auto" w:fill="CCEEFF"/>
          </w:tcPr>
          <w:p>
            <w:pPr>
              <w:spacing w:after="0"/>
              <w:rPr>
                <w:sz w:val="17"/>
                <w:szCs w:val="17"/>
                <w:color w:val="auto"/>
              </w:rPr>
            </w:pPr>
          </w:p>
        </w:tc>
        <w:tc>
          <w:tcPr>
            <w:tcW w:w="40" w:type="dxa"/>
            <w:vAlign w:val="bottom"/>
            <w:tcBorders>
              <w:top w:val="single" w:sz="8" w:color="CCEEFF"/>
            </w:tcBorders>
            <w:shd w:val="clear" w:color="auto" w:fill="CCEEFF"/>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6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Michael J. Saylor</w:t>
            </w:r>
          </w:p>
        </w:tc>
        <w:tc>
          <w:tcPr>
            <w:tcW w:w="112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23,814,168</w:t>
            </w:r>
          </w:p>
        </w:tc>
        <w:tc>
          <w:tcPr>
            <w:tcW w:w="104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1,267,498</w:t>
            </w:r>
          </w:p>
        </w:tc>
        <w:tc>
          <w:tcPr>
            <w:tcW w:w="700" w:type="dxa"/>
            <w:vAlign w:val="bottom"/>
            <w:gridSpan w:val="2"/>
          </w:tcPr>
          <w:p>
            <w:pPr>
              <w:ind w:left="300"/>
              <w:spacing w:after="0"/>
              <w:rPr>
                <w:sz w:val="20"/>
                <w:szCs w:val="20"/>
                <w:color w:val="auto"/>
              </w:rPr>
            </w:pPr>
            <w:r>
              <w:rPr>
                <w:rFonts w:ascii="Times New Roman" w:cs="Times New Roman" w:eastAsia="Times New Roman" w:hAnsi="Times New Roman"/>
                <w:sz w:val="18"/>
                <w:szCs w:val="18"/>
                <w:color w:val="auto"/>
              </w:rPr>
              <w:t>— </w:t>
            </w:r>
          </w:p>
        </w:tc>
        <w:tc>
          <w:tcPr>
            <w:tcW w:w="84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3,852,194</w:t>
            </w:r>
          </w:p>
        </w:tc>
        <w:tc>
          <w:tcPr>
            <w:tcW w:w="0" w:type="dxa"/>
            <w:vAlign w:val="bottom"/>
          </w:tcPr>
          <w:p>
            <w:pPr>
              <w:spacing w:after="0"/>
              <w:rPr>
                <w:sz w:val="1"/>
                <w:szCs w:val="1"/>
                <w:color w:val="auto"/>
              </w:rPr>
            </w:pPr>
          </w:p>
        </w:tc>
      </w:tr>
      <w:tr>
        <w:trPr>
          <w:trHeight w:val="216"/>
        </w:trPr>
        <w:tc>
          <w:tcPr>
            <w:tcW w:w="642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Phong Q. Le</w:t>
            </w:r>
          </w:p>
        </w:tc>
        <w:tc>
          <w:tcPr>
            <w:tcW w:w="112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24,451,118</w:t>
            </w:r>
          </w:p>
        </w:tc>
        <w:tc>
          <w:tcPr>
            <w:tcW w:w="104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630,548</w:t>
            </w:r>
          </w:p>
        </w:tc>
        <w:tc>
          <w:tcPr>
            <w:tcW w:w="700" w:type="dxa"/>
            <w:vAlign w:val="bottom"/>
            <w:gridSpan w:val="2"/>
            <w:shd w:val="clear" w:color="auto" w:fill="CCEEFF"/>
          </w:tcPr>
          <w:p>
            <w:pPr>
              <w:ind w:left="300"/>
              <w:spacing w:after="0"/>
              <w:rPr>
                <w:sz w:val="20"/>
                <w:szCs w:val="20"/>
                <w:color w:val="auto"/>
              </w:rPr>
            </w:pPr>
            <w:r>
              <w:rPr>
                <w:rFonts w:ascii="Times New Roman" w:cs="Times New Roman" w:eastAsia="Times New Roman" w:hAnsi="Times New Roman"/>
                <w:sz w:val="18"/>
                <w:szCs w:val="18"/>
                <w:color w:val="auto"/>
              </w:rPr>
              <w:t>— </w:t>
            </w:r>
          </w:p>
        </w:tc>
        <w:tc>
          <w:tcPr>
            <w:tcW w:w="840" w:type="dxa"/>
            <w:vAlign w:val="bottom"/>
            <w:gridSpan w:val="2"/>
            <w:shd w:val="clear" w:color="auto" w:fill="CCEEFF"/>
          </w:tcPr>
          <w:p>
            <w:pPr>
              <w:ind w:left="80"/>
              <w:spacing w:after="0"/>
              <w:rPr>
                <w:sz w:val="20"/>
                <w:szCs w:val="20"/>
                <w:color w:val="auto"/>
              </w:rPr>
            </w:pPr>
            <w:r>
              <w:rPr>
                <w:rFonts w:ascii="Times New Roman" w:cs="Times New Roman" w:eastAsia="Times New Roman" w:hAnsi="Times New Roman"/>
                <w:sz w:val="18"/>
                <w:szCs w:val="18"/>
                <w:color w:val="auto"/>
              </w:rPr>
              <w:t>3,852,194</w:t>
            </w:r>
          </w:p>
        </w:tc>
        <w:tc>
          <w:tcPr>
            <w:tcW w:w="0" w:type="dxa"/>
            <w:vAlign w:val="bottom"/>
          </w:tcPr>
          <w:p>
            <w:pPr>
              <w:spacing w:after="0"/>
              <w:rPr>
                <w:sz w:val="1"/>
                <w:szCs w:val="1"/>
                <w:color w:val="auto"/>
              </w:rPr>
            </w:pPr>
          </w:p>
        </w:tc>
      </w:tr>
      <w:tr>
        <w:trPr>
          <w:trHeight w:val="216"/>
        </w:trPr>
        <w:tc>
          <w:tcPr>
            <w:tcW w:w="6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Stephen X. Graham</w:t>
            </w:r>
          </w:p>
        </w:tc>
        <w:tc>
          <w:tcPr>
            <w:tcW w:w="112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24,234,138</w:t>
            </w:r>
          </w:p>
        </w:tc>
        <w:tc>
          <w:tcPr>
            <w:tcW w:w="104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847,528</w:t>
            </w:r>
          </w:p>
        </w:tc>
        <w:tc>
          <w:tcPr>
            <w:tcW w:w="700" w:type="dxa"/>
            <w:vAlign w:val="bottom"/>
            <w:gridSpan w:val="2"/>
          </w:tcPr>
          <w:p>
            <w:pPr>
              <w:ind w:left="300"/>
              <w:spacing w:after="0"/>
              <w:rPr>
                <w:sz w:val="20"/>
                <w:szCs w:val="20"/>
                <w:color w:val="auto"/>
              </w:rPr>
            </w:pPr>
            <w:r>
              <w:rPr>
                <w:rFonts w:ascii="Times New Roman" w:cs="Times New Roman" w:eastAsia="Times New Roman" w:hAnsi="Times New Roman"/>
                <w:sz w:val="18"/>
                <w:szCs w:val="18"/>
                <w:color w:val="auto"/>
              </w:rPr>
              <w:t>— </w:t>
            </w:r>
          </w:p>
        </w:tc>
        <w:tc>
          <w:tcPr>
            <w:tcW w:w="84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3,852,194</w:t>
            </w:r>
          </w:p>
        </w:tc>
        <w:tc>
          <w:tcPr>
            <w:tcW w:w="0" w:type="dxa"/>
            <w:vAlign w:val="bottom"/>
          </w:tcPr>
          <w:p>
            <w:pPr>
              <w:spacing w:after="0"/>
              <w:rPr>
                <w:sz w:val="1"/>
                <w:szCs w:val="1"/>
                <w:color w:val="auto"/>
              </w:rPr>
            </w:pPr>
          </w:p>
        </w:tc>
      </w:tr>
      <w:tr>
        <w:trPr>
          <w:trHeight w:val="216"/>
        </w:trPr>
        <w:tc>
          <w:tcPr>
            <w:tcW w:w="642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Jarrod M. Patten</w:t>
            </w:r>
          </w:p>
        </w:tc>
        <w:tc>
          <w:tcPr>
            <w:tcW w:w="112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23,845,091</w:t>
            </w:r>
          </w:p>
        </w:tc>
        <w:tc>
          <w:tcPr>
            <w:tcW w:w="104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1,236,575</w:t>
            </w:r>
          </w:p>
        </w:tc>
        <w:tc>
          <w:tcPr>
            <w:tcW w:w="700" w:type="dxa"/>
            <w:vAlign w:val="bottom"/>
            <w:gridSpan w:val="2"/>
            <w:shd w:val="clear" w:color="auto" w:fill="CCEEFF"/>
          </w:tcPr>
          <w:p>
            <w:pPr>
              <w:ind w:left="300"/>
              <w:spacing w:after="0"/>
              <w:rPr>
                <w:sz w:val="20"/>
                <w:szCs w:val="20"/>
                <w:color w:val="auto"/>
              </w:rPr>
            </w:pPr>
            <w:r>
              <w:rPr>
                <w:rFonts w:ascii="Times New Roman" w:cs="Times New Roman" w:eastAsia="Times New Roman" w:hAnsi="Times New Roman"/>
                <w:sz w:val="18"/>
                <w:szCs w:val="18"/>
                <w:color w:val="auto"/>
              </w:rPr>
              <w:t>— </w:t>
            </w:r>
          </w:p>
        </w:tc>
        <w:tc>
          <w:tcPr>
            <w:tcW w:w="840" w:type="dxa"/>
            <w:vAlign w:val="bottom"/>
            <w:gridSpan w:val="2"/>
            <w:shd w:val="clear" w:color="auto" w:fill="CCEEFF"/>
          </w:tcPr>
          <w:p>
            <w:pPr>
              <w:ind w:left="80"/>
              <w:spacing w:after="0"/>
              <w:rPr>
                <w:sz w:val="20"/>
                <w:szCs w:val="20"/>
                <w:color w:val="auto"/>
              </w:rPr>
            </w:pPr>
            <w:r>
              <w:rPr>
                <w:rFonts w:ascii="Times New Roman" w:cs="Times New Roman" w:eastAsia="Times New Roman" w:hAnsi="Times New Roman"/>
                <w:sz w:val="18"/>
                <w:szCs w:val="18"/>
                <w:color w:val="auto"/>
              </w:rPr>
              <w:t>3,852,194</w:t>
            </w:r>
          </w:p>
        </w:tc>
        <w:tc>
          <w:tcPr>
            <w:tcW w:w="0" w:type="dxa"/>
            <w:vAlign w:val="bottom"/>
          </w:tcPr>
          <w:p>
            <w:pPr>
              <w:spacing w:after="0"/>
              <w:rPr>
                <w:sz w:val="1"/>
                <w:szCs w:val="1"/>
                <w:color w:val="auto"/>
              </w:rPr>
            </w:pPr>
          </w:p>
        </w:tc>
      </w:tr>
      <w:tr>
        <w:trPr>
          <w:trHeight w:val="216"/>
        </w:trPr>
        <w:tc>
          <w:tcPr>
            <w:tcW w:w="64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Leslie J. Rechan</w:t>
            </w:r>
          </w:p>
        </w:tc>
        <w:tc>
          <w:tcPr>
            <w:tcW w:w="112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24,056,376</w:t>
            </w:r>
          </w:p>
        </w:tc>
        <w:tc>
          <w:tcPr>
            <w:tcW w:w="104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1,025,290</w:t>
            </w:r>
          </w:p>
        </w:tc>
        <w:tc>
          <w:tcPr>
            <w:tcW w:w="700" w:type="dxa"/>
            <w:vAlign w:val="bottom"/>
            <w:gridSpan w:val="2"/>
          </w:tcPr>
          <w:p>
            <w:pPr>
              <w:ind w:left="300"/>
              <w:spacing w:after="0"/>
              <w:rPr>
                <w:sz w:val="20"/>
                <w:szCs w:val="20"/>
                <w:color w:val="auto"/>
              </w:rPr>
            </w:pPr>
            <w:r>
              <w:rPr>
                <w:rFonts w:ascii="Times New Roman" w:cs="Times New Roman" w:eastAsia="Times New Roman" w:hAnsi="Times New Roman"/>
                <w:sz w:val="18"/>
                <w:szCs w:val="18"/>
                <w:color w:val="auto"/>
              </w:rPr>
              <w:t>— </w:t>
            </w:r>
          </w:p>
        </w:tc>
        <w:tc>
          <w:tcPr>
            <w:tcW w:w="84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3,852,194</w:t>
            </w:r>
          </w:p>
        </w:tc>
        <w:tc>
          <w:tcPr>
            <w:tcW w:w="0" w:type="dxa"/>
            <w:vAlign w:val="bottom"/>
          </w:tcPr>
          <w:p>
            <w:pPr>
              <w:spacing w:after="0"/>
              <w:rPr>
                <w:sz w:val="1"/>
                <w:szCs w:val="1"/>
                <w:color w:val="auto"/>
              </w:rPr>
            </w:pPr>
          </w:p>
        </w:tc>
      </w:tr>
      <w:tr>
        <w:trPr>
          <w:trHeight w:val="216"/>
        </w:trPr>
        <w:tc>
          <w:tcPr>
            <w:tcW w:w="642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Carl J. Rickertsen</w:t>
            </w:r>
          </w:p>
        </w:tc>
        <w:tc>
          <w:tcPr>
            <w:tcW w:w="112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22,790,025</w:t>
            </w:r>
          </w:p>
        </w:tc>
        <w:tc>
          <w:tcPr>
            <w:tcW w:w="104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2,291,641</w:t>
            </w:r>
          </w:p>
        </w:tc>
        <w:tc>
          <w:tcPr>
            <w:tcW w:w="700" w:type="dxa"/>
            <w:vAlign w:val="bottom"/>
            <w:gridSpan w:val="2"/>
            <w:shd w:val="clear" w:color="auto" w:fill="CCEEFF"/>
          </w:tcPr>
          <w:p>
            <w:pPr>
              <w:ind w:left="300"/>
              <w:spacing w:after="0"/>
              <w:rPr>
                <w:sz w:val="20"/>
                <w:szCs w:val="20"/>
                <w:color w:val="auto"/>
              </w:rPr>
            </w:pPr>
            <w:r>
              <w:rPr>
                <w:rFonts w:ascii="Times New Roman" w:cs="Times New Roman" w:eastAsia="Times New Roman" w:hAnsi="Times New Roman"/>
                <w:sz w:val="18"/>
                <w:szCs w:val="18"/>
                <w:color w:val="auto"/>
              </w:rPr>
              <w:t>— </w:t>
            </w:r>
          </w:p>
        </w:tc>
        <w:tc>
          <w:tcPr>
            <w:tcW w:w="840" w:type="dxa"/>
            <w:vAlign w:val="bottom"/>
            <w:gridSpan w:val="2"/>
            <w:shd w:val="clear" w:color="auto" w:fill="CCEEFF"/>
          </w:tcPr>
          <w:p>
            <w:pPr>
              <w:ind w:left="80"/>
              <w:spacing w:after="0"/>
              <w:rPr>
                <w:sz w:val="20"/>
                <w:szCs w:val="20"/>
                <w:color w:val="auto"/>
              </w:rPr>
            </w:pPr>
            <w:r>
              <w:rPr>
                <w:rFonts w:ascii="Times New Roman" w:cs="Times New Roman" w:eastAsia="Times New Roman" w:hAnsi="Times New Roman"/>
                <w:sz w:val="18"/>
                <w:szCs w:val="18"/>
                <w:color w:val="auto"/>
              </w:rPr>
              <w:t>3,852,194</w:t>
            </w:r>
          </w:p>
        </w:tc>
        <w:tc>
          <w:tcPr>
            <w:tcW w:w="0" w:type="dxa"/>
            <w:vAlign w:val="bottom"/>
          </w:tcPr>
          <w:p>
            <w:pPr>
              <w:spacing w:after="0"/>
              <w:rPr>
                <w:sz w:val="1"/>
                <w:szCs w:val="1"/>
                <w:color w:val="auto"/>
              </w:rPr>
            </w:pPr>
          </w:p>
        </w:tc>
      </w:tr>
      <w:tr>
        <w:trPr>
          <w:trHeight w:val="340"/>
        </w:trPr>
        <w:tc>
          <w:tcPr>
            <w:tcW w:w="6420" w:type="dxa"/>
            <w:vAlign w:val="bottom"/>
          </w:tcPr>
          <w:p>
            <w:pPr>
              <w:spacing w:after="0"/>
              <w:rPr>
                <w:sz w:val="24"/>
                <w:szCs w:val="24"/>
                <w:color w:val="auto"/>
              </w:rPr>
            </w:pPr>
          </w:p>
        </w:tc>
        <w:tc>
          <w:tcPr>
            <w:tcW w:w="1120" w:type="dxa"/>
            <w:vAlign w:val="bottom"/>
            <w:gridSpan w:val="2"/>
            <w:vMerge w:val="restart"/>
          </w:tcPr>
          <w:p>
            <w:pPr>
              <w:ind w:left="320"/>
              <w:spacing w:after="0"/>
              <w:rPr>
                <w:sz w:val="20"/>
                <w:szCs w:val="20"/>
                <w:color w:val="auto"/>
              </w:rPr>
            </w:pPr>
            <w:r>
              <w:rPr>
                <w:rFonts w:ascii="Times New Roman" w:cs="Times New Roman" w:eastAsia="Times New Roman" w:hAnsi="Times New Roman"/>
                <w:sz w:val="14"/>
                <w:szCs w:val="14"/>
                <w:b w:val="1"/>
                <w:bCs w:val="1"/>
                <w:color w:val="auto"/>
              </w:rPr>
              <w:t>For</w:t>
            </w:r>
          </w:p>
        </w:tc>
        <w:tc>
          <w:tcPr>
            <w:tcW w:w="1040" w:type="dxa"/>
            <w:vAlign w:val="bottom"/>
            <w:gridSpan w:val="2"/>
            <w:vMerge w:val="restart"/>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Against</w:t>
            </w:r>
          </w:p>
        </w:tc>
        <w:tc>
          <w:tcPr>
            <w:tcW w:w="700" w:type="dxa"/>
            <w:vAlign w:val="bottom"/>
            <w:gridSpan w:val="2"/>
            <w:vMerge w:val="restart"/>
          </w:tcPr>
          <w:p>
            <w:pPr>
              <w:ind w:left="40"/>
              <w:spacing w:after="0"/>
              <w:rPr>
                <w:sz w:val="20"/>
                <w:szCs w:val="20"/>
                <w:color w:val="auto"/>
              </w:rPr>
            </w:pPr>
            <w:r>
              <w:rPr>
                <w:rFonts w:ascii="Times New Roman" w:cs="Times New Roman" w:eastAsia="Times New Roman" w:hAnsi="Times New Roman"/>
                <w:sz w:val="14"/>
                <w:szCs w:val="14"/>
                <w:b w:val="1"/>
                <w:bCs w:val="1"/>
                <w:color w:val="auto"/>
              </w:rPr>
              <w:t>Abstain</w:t>
            </w:r>
          </w:p>
        </w:tc>
        <w:tc>
          <w:tcPr>
            <w:tcW w:w="840" w:type="dxa"/>
            <w:vAlign w:val="bottom"/>
            <w:gridSpan w:val="2"/>
          </w:tcPr>
          <w:p>
            <w:pPr>
              <w:ind w:left="180"/>
              <w:spacing w:after="0"/>
              <w:rPr>
                <w:sz w:val="20"/>
                <w:szCs w:val="20"/>
                <w:color w:val="auto"/>
              </w:rPr>
            </w:pPr>
            <w:r>
              <w:rPr>
                <w:rFonts w:ascii="Times New Roman" w:cs="Times New Roman" w:eastAsia="Times New Roman" w:hAnsi="Times New Roman"/>
                <w:sz w:val="14"/>
                <w:szCs w:val="14"/>
                <w:b w:val="1"/>
                <w:bCs w:val="1"/>
                <w:color w:val="auto"/>
              </w:rPr>
              <w:t>Broker</w:t>
            </w:r>
          </w:p>
        </w:tc>
        <w:tc>
          <w:tcPr>
            <w:tcW w:w="0" w:type="dxa"/>
            <w:vAlign w:val="bottom"/>
          </w:tcPr>
          <w:p>
            <w:pPr>
              <w:spacing w:after="0"/>
              <w:rPr>
                <w:sz w:val="1"/>
                <w:szCs w:val="1"/>
                <w:color w:val="auto"/>
              </w:rPr>
            </w:pPr>
          </w:p>
        </w:tc>
      </w:tr>
      <w:tr>
        <w:trPr>
          <w:trHeight w:val="173"/>
        </w:trPr>
        <w:tc>
          <w:tcPr>
            <w:tcW w:w="6420" w:type="dxa"/>
            <w:vAlign w:val="bottom"/>
          </w:tcPr>
          <w:p>
            <w:pPr>
              <w:spacing w:after="0"/>
              <w:rPr>
                <w:sz w:val="15"/>
                <w:szCs w:val="15"/>
                <w:color w:val="auto"/>
              </w:rPr>
            </w:pPr>
          </w:p>
        </w:tc>
        <w:tc>
          <w:tcPr>
            <w:tcW w:w="1120" w:type="dxa"/>
            <w:vAlign w:val="bottom"/>
            <w:gridSpan w:val="2"/>
            <w:vMerge w:val="continue"/>
          </w:tcPr>
          <w:p>
            <w:pPr>
              <w:spacing w:after="0"/>
              <w:rPr>
                <w:sz w:val="15"/>
                <w:szCs w:val="15"/>
                <w:color w:val="auto"/>
              </w:rPr>
            </w:pPr>
          </w:p>
        </w:tc>
        <w:tc>
          <w:tcPr>
            <w:tcW w:w="1040" w:type="dxa"/>
            <w:vAlign w:val="bottom"/>
            <w:gridSpan w:val="2"/>
            <w:vMerge w:val="continue"/>
          </w:tcPr>
          <w:p>
            <w:pPr>
              <w:spacing w:after="0"/>
              <w:rPr>
                <w:sz w:val="15"/>
                <w:szCs w:val="15"/>
                <w:color w:val="auto"/>
              </w:rPr>
            </w:pPr>
          </w:p>
        </w:tc>
        <w:tc>
          <w:tcPr>
            <w:tcW w:w="700" w:type="dxa"/>
            <w:vAlign w:val="bottom"/>
            <w:gridSpan w:val="2"/>
            <w:vMerge w:val="continue"/>
          </w:tcPr>
          <w:p>
            <w:pPr>
              <w:spacing w:after="0"/>
              <w:rPr>
                <w:sz w:val="15"/>
                <w:szCs w:val="15"/>
                <w:color w:val="auto"/>
              </w:rPr>
            </w:pPr>
          </w:p>
        </w:tc>
        <w:tc>
          <w:tcPr>
            <w:tcW w:w="840" w:type="dxa"/>
            <w:vAlign w:val="bottom"/>
            <w:gridSpan w:val="2"/>
          </w:tcPr>
          <w:p>
            <w:pPr>
              <w:ind w:left="80"/>
              <w:spacing w:after="0"/>
              <w:rPr>
                <w:sz w:val="20"/>
                <w:szCs w:val="20"/>
                <w:color w:val="auto"/>
              </w:rPr>
            </w:pPr>
            <w:r>
              <w:rPr>
                <w:rFonts w:ascii="Times New Roman" w:cs="Times New Roman" w:eastAsia="Times New Roman" w:hAnsi="Times New Roman"/>
                <w:sz w:val="14"/>
                <w:szCs w:val="14"/>
                <w:b w:val="1"/>
                <w:bCs w:val="1"/>
                <w:color w:val="auto"/>
              </w:rPr>
              <w:t>Non-Votes</w:t>
            </w:r>
          </w:p>
        </w:tc>
        <w:tc>
          <w:tcPr>
            <w:tcW w:w="0" w:type="dxa"/>
            <w:vAlign w:val="bottom"/>
          </w:tcPr>
          <w:p>
            <w:pPr>
              <w:spacing w:after="0"/>
              <w:rPr>
                <w:sz w:val="1"/>
                <w:szCs w:val="1"/>
                <w:color w:val="auto"/>
              </w:rPr>
            </w:pPr>
          </w:p>
        </w:tc>
      </w:tr>
      <w:tr>
        <w:trPr>
          <w:trHeight w:val="178"/>
        </w:trPr>
        <w:tc>
          <w:tcPr>
            <w:tcW w:w="6420" w:type="dxa"/>
            <w:vAlign w:val="bottom"/>
            <w:tcBorders>
              <w:top w:val="single" w:sz="8" w:color="CCEEFF"/>
            </w:tcBorders>
            <w:shd w:val="clear" w:color="auto" w:fill="CCEEFF"/>
          </w:tcPr>
          <w:p>
            <w:pPr>
              <w:spacing w:after="0" w:line="177" w:lineRule="exact"/>
              <w:rPr>
                <w:sz w:val="20"/>
                <w:szCs w:val="20"/>
                <w:color w:val="auto"/>
              </w:rPr>
            </w:pPr>
            <w:r>
              <w:rPr>
                <w:rFonts w:ascii="Times New Roman" w:cs="Times New Roman" w:eastAsia="Times New Roman" w:hAnsi="Times New Roman"/>
                <w:sz w:val="18"/>
                <w:szCs w:val="18"/>
                <w:color w:val="auto"/>
              </w:rPr>
              <w:t>2.    To ratify the selection of KPMG LLP as the Company’s independent registered</w:t>
            </w:r>
          </w:p>
        </w:tc>
        <w:tc>
          <w:tcPr>
            <w:tcW w:w="880" w:type="dxa"/>
            <w:vAlign w:val="bottom"/>
            <w:tcBorders>
              <w:top w:val="single" w:sz="8" w:color="auto"/>
            </w:tcBorders>
            <w:shd w:val="clear" w:color="auto" w:fill="CCEEFF"/>
          </w:tcPr>
          <w:p>
            <w:pPr>
              <w:spacing w:after="0"/>
              <w:rPr>
                <w:sz w:val="15"/>
                <w:szCs w:val="15"/>
                <w:color w:val="auto"/>
              </w:rPr>
            </w:pPr>
          </w:p>
        </w:tc>
        <w:tc>
          <w:tcPr>
            <w:tcW w:w="240" w:type="dxa"/>
            <w:vAlign w:val="bottom"/>
            <w:tcBorders>
              <w:top w:val="single" w:sz="8" w:color="CCEEFF"/>
            </w:tcBorders>
            <w:shd w:val="clear" w:color="auto" w:fill="CCEEFF"/>
          </w:tcPr>
          <w:p>
            <w:pPr>
              <w:spacing w:after="0"/>
              <w:rPr>
                <w:sz w:val="15"/>
                <w:szCs w:val="15"/>
                <w:color w:val="auto"/>
              </w:rPr>
            </w:pPr>
          </w:p>
        </w:tc>
        <w:tc>
          <w:tcPr>
            <w:tcW w:w="800" w:type="dxa"/>
            <w:vAlign w:val="bottom"/>
            <w:tcBorders>
              <w:top w:val="single" w:sz="8" w:color="auto"/>
            </w:tcBorders>
            <w:shd w:val="clear" w:color="auto" w:fill="CCEEFF"/>
          </w:tcPr>
          <w:p>
            <w:pPr>
              <w:spacing w:after="0"/>
              <w:rPr>
                <w:sz w:val="15"/>
                <w:szCs w:val="15"/>
                <w:color w:val="auto"/>
              </w:rPr>
            </w:pPr>
          </w:p>
        </w:tc>
        <w:tc>
          <w:tcPr>
            <w:tcW w:w="240" w:type="dxa"/>
            <w:vAlign w:val="bottom"/>
            <w:tcBorders>
              <w:top w:val="single" w:sz="8" w:color="CCEEFF"/>
            </w:tcBorders>
            <w:shd w:val="clear" w:color="auto" w:fill="CCEEFF"/>
          </w:tcPr>
          <w:p>
            <w:pPr>
              <w:spacing w:after="0"/>
              <w:rPr>
                <w:sz w:val="15"/>
                <w:szCs w:val="15"/>
                <w:color w:val="auto"/>
              </w:rPr>
            </w:pPr>
          </w:p>
        </w:tc>
        <w:tc>
          <w:tcPr>
            <w:tcW w:w="560" w:type="dxa"/>
            <w:vAlign w:val="bottom"/>
            <w:tcBorders>
              <w:top w:val="single" w:sz="8" w:color="auto"/>
            </w:tcBorders>
            <w:shd w:val="clear" w:color="auto" w:fill="CCEEFF"/>
          </w:tcPr>
          <w:p>
            <w:pPr>
              <w:spacing w:after="0"/>
              <w:rPr>
                <w:sz w:val="15"/>
                <w:szCs w:val="15"/>
                <w:color w:val="auto"/>
              </w:rPr>
            </w:pPr>
          </w:p>
        </w:tc>
        <w:tc>
          <w:tcPr>
            <w:tcW w:w="140" w:type="dxa"/>
            <w:vAlign w:val="bottom"/>
            <w:tcBorders>
              <w:top w:val="single" w:sz="8" w:color="CCEEFF"/>
            </w:tcBorders>
            <w:shd w:val="clear" w:color="auto" w:fill="CCEEFF"/>
          </w:tcPr>
          <w:p>
            <w:pPr>
              <w:spacing w:after="0"/>
              <w:rPr>
                <w:sz w:val="15"/>
                <w:szCs w:val="15"/>
                <w:color w:val="auto"/>
              </w:rPr>
            </w:pPr>
          </w:p>
        </w:tc>
        <w:tc>
          <w:tcPr>
            <w:tcW w:w="800" w:type="dxa"/>
            <w:vAlign w:val="bottom"/>
            <w:tcBorders>
              <w:top w:val="single" w:sz="8" w:color="auto"/>
            </w:tcBorders>
            <w:shd w:val="clear" w:color="auto" w:fill="CCEEFF"/>
          </w:tcPr>
          <w:p>
            <w:pPr>
              <w:spacing w:after="0"/>
              <w:rPr>
                <w:sz w:val="15"/>
                <w:szCs w:val="15"/>
                <w:color w:val="auto"/>
              </w:rPr>
            </w:pPr>
          </w:p>
        </w:tc>
        <w:tc>
          <w:tcPr>
            <w:tcW w:w="40" w:type="dxa"/>
            <w:vAlign w:val="bottom"/>
            <w:tcBorders>
              <w:top w:val="single" w:sz="8" w:color="CCEEFF"/>
            </w:tcBorders>
            <w:shd w:val="clear" w:color="auto" w:fill="CCEEFF"/>
          </w:tcPr>
          <w:p>
            <w:pPr>
              <w:spacing w:after="0"/>
              <w:rPr>
                <w:sz w:val="15"/>
                <w:szCs w:val="15"/>
                <w:color w:val="auto"/>
              </w:rPr>
            </w:pPr>
          </w:p>
        </w:tc>
        <w:tc>
          <w:tcPr>
            <w:tcW w:w="0" w:type="dxa"/>
            <w:vAlign w:val="bottom"/>
          </w:tcPr>
          <w:p>
            <w:pPr>
              <w:spacing w:after="0"/>
              <w:rPr>
                <w:sz w:val="1"/>
                <w:szCs w:val="1"/>
                <w:color w:val="auto"/>
              </w:rPr>
            </w:pPr>
          </w:p>
        </w:tc>
      </w:tr>
      <w:tr>
        <w:trPr>
          <w:trHeight w:val="234"/>
        </w:trPr>
        <w:tc>
          <w:tcPr>
            <w:tcW w:w="642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public accounting firm for the fiscal year ending December 31, 2024.</w:t>
            </w:r>
          </w:p>
        </w:tc>
        <w:tc>
          <w:tcPr>
            <w:tcW w:w="112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28,855,910</w:t>
            </w:r>
          </w:p>
        </w:tc>
        <w:tc>
          <w:tcPr>
            <w:tcW w:w="1040" w:type="dxa"/>
            <w:vAlign w:val="bottom"/>
            <w:gridSpan w:val="2"/>
            <w:shd w:val="clear" w:color="auto" w:fill="CCEEFF"/>
          </w:tcPr>
          <w:p>
            <w:pPr>
              <w:jc w:val="right"/>
              <w:ind w:right="240"/>
              <w:spacing w:after="0"/>
              <w:rPr>
                <w:sz w:val="20"/>
                <w:szCs w:val="20"/>
                <w:color w:val="auto"/>
              </w:rPr>
            </w:pPr>
            <w:r>
              <w:rPr>
                <w:rFonts w:ascii="Times New Roman" w:cs="Times New Roman" w:eastAsia="Times New Roman" w:hAnsi="Times New Roman"/>
                <w:sz w:val="18"/>
                <w:szCs w:val="18"/>
                <w:color w:val="auto"/>
              </w:rPr>
              <w:t>47,419</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30,531</w:t>
            </w:r>
          </w:p>
        </w:tc>
        <w:tc>
          <w:tcPr>
            <w:tcW w:w="840" w:type="dxa"/>
            <w:vAlign w:val="bottom"/>
            <w:gridSpan w:val="2"/>
            <w:shd w:val="clear" w:color="auto" w:fill="CCEEFF"/>
          </w:tcPr>
          <w:p>
            <w:pPr>
              <w:ind w:left="520"/>
              <w:spacing w:after="0"/>
              <w:rPr>
                <w:sz w:val="20"/>
                <w:szCs w:val="20"/>
                <w:color w:val="auto"/>
              </w:rPr>
            </w:pPr>
            <w:r>
              <w:rPr>
                <w:rFonts w:ascii="Times New Roman" w:cs="Times New Roman" w:eastAsia="Times New Roman" w:hAnsi="Times New Roman"/>
                <w:sz w:val="18"/>
                <w:szCs w:val="18"/>
                <w:color w:val="auto"/>
              </w:rPr>
              <w:t>— </w:t>
            </w:r>
          </w:p>
        </w:tc>
        <w:tc>
          <w:tcPr>
            <w:tcW w:w="0" w:type="dxa"/>
            <w:vAlign w:val="bottom"/>
          </w:tcPr>
          <w:p>
            <w:pPr>
              <w:spacing w:after="0"/>
              <w:rPr>
                <w:sz w:val="1"/>
                <w:szCs w:val="1"/>
                <w:color w:val="auto"/>
              </w:rPr>
            </w:pPr>
          </w:p>
        </w:tc>
      </w:tr>
    </w:tbl>
    <w:p>
      <w:pPr>
        <w:sectPr>
          <w:pgSz w:w="11900" w:h="16838" w:orient="portrait"/>
          <w:cols w:equalWidth="0" w:num="1">
            <w:col w:w="10880"/>
          </w:cols>
          <w:pgMar w:left="440" w:top="293" w:right="57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80" w:type="dxa"/>
            <w:vAlign w:val="bottom"/>
          </w:tcPr>
          <w:p>
            <w:pPr>
              <w:spacing w:after="0"/>
              <w:rPr>
                <w:sz w:val="20"/>
                <w:szCs w:val="20"/>
                <w:color w:val="auto"/>
              </w:rPr>
            </w:pPr>
            <w:r>
              <w:rPr>
                <w:rFonts w:ascii="Times New Roman" w:cs="Times New Roman" w:eastAsia="Times New Roman" w:hAnsi="Times New Roman"/>
                <w:sz w:val="18"/>
                <w:szCs w:val="18"/>
                <w:color w:val="auto"/>
              </w:rPr>
              <w:t>Date: May 24, 2024</w:t>
            </w: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480" w:type="dxa"/>
            <w:vAlign w:val="bottom"/>
          </w:tcPr>
          <w:p>
            <w:pPr>
              <w:spacing w:after="0"/>
              <w:rPr>
                <w:sz w:val="20"/>
                <w:szCs w:val="20"/>
                <w:color w:val="auto"/>
              </w:rPr>
            </w:pP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480" w:type="dxa"/>
            <w:vAlign w:val="bottom"/>
          </w:tcPr>
          <w:p>
            <w:pPr>
              <w:spacing w:after="0"/>
              <w:rPr>
                <w:sz w:val="24"/>
                <w:szCs w:val="24"/>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80" w:type="dxa"/>
            <w:vAlign w:val="bottom"/>
          </w:tcPr>
          <w:p>
            <w:pPr>
              <w:spacing w:after="0"/>
              <w:rPr>
                <w:sz w:val="17"/>
                <w:szCs w:val="17"/>
                <w:color w:val="auto"/>
              </w:rPr>
            </w:pPr>
          </w:p>
        </w:tc>
        <w:tc>
          <w:tcPr>
            <w:tcW w:w="2680" w:type="dxa"/>
            <w:vAlign w:val="bottom"/>
          </w:tcPr>
          <w:p>
            <w:pPr>
              <w:ind w:left="204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80" w:type="dxa"/>
            <w:vAlign w:val="bottom"/>
          </w:tcPr>
          <w:p>
            <w:pPr>
              <w:spacing w:after="0"/>
              <w:rPr>
                <w:sz w:val="20"/>
                <w:szCs w:val="20"/>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2024-05-24T15:40:06Z</dcterms:created>
  <dcterms:modified xsi:type="dcterms:W3CDTF">2024-05-24T15:40:06Z</dcterms:modified>
</cp:coreProperties>
</file>